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C7C" w:rsidRPr="00E85678" w:rsidRDefault="00CB0575" w:rsidP="00E85678">
      <w:pPr>
        <w:jc w:val="center"/>
        <w:rPr>
          <w:b/>
          <w:sz w:val="28"/>
          <w:szCs w:val="28"/>
        </w:rPr>
      </w:pPr>
      <w:r w:rsidRPr="00E85678">
        <w:rPr>
          <w:b/>
          <w:sz w:val="28"/>
          <w:szCs w:val="28"/>
        </w:rPr>
        <w:t xml:space="preserve">Recent </w:t>
      </w:r>
      <w:r w:rsidR="00E85678">
        <w:rPr>
          <w:b/>
          <w:sz w:val="28"/>
          <w:szCs w:val="28"/>
        </w:rPr>
        <w:t>C</w:t>
      </w:r>
      <w:r w:rsidRPr="00E85678">
        <w:rPr>
          <w:b/>
          <w:sz w:val="28"/>
          <w:szCs w:val="28"/>
        </w:rPr>
        <w:t>ases on Child Welfare Workers’ Liability for Removal of Children</w:t>
      </w:r>
    </w:p>
    <w:p w:rsidR="00E85678" w:rsidRDefault="00E85678">
      <w:pPr>
        <w:rPr>
          <w:sz w:val="28"/>
          <w:szCs w:val="28"/>
        </w:rPr>
      </w:pPr>
    </w:p>
    <w:p w:rsidR="00211B0A" w:rsidRPr="00E85678" w:rsidRDefault="00211B0A">
      <w:pPr>
        <w:rPr>
          <w:sz w:val="28"/>
          <w:szCs w:val="28"/>
        </w:rPr>
      </w:pPr>
      <w:r w:rsidRPr="00E85678">
        <w:rPr>
          <w:sz w:val="28"/>
          <w:szCs w:val="28"/>
        </w:rPr>
        <w:t>Introduction</w:t>
      </w:r>
    </w:p>
    <w:p w:rsidR="00CB0575" w:rsidRDefault="00CB0575">
      <w:r>
        <w:t xml:space="preserve">Child welfare continues to be an area of social work practice that is fraught with periodic public controversy due to the </w:t>
      </w:r>
      <w:r w:rsidR="00426E0C">
        <w:t>persistence</w:t>
      </w:r>
      <w:r>
        <w:t xml:space="preserve"> of child abuse and neglect</w:t>
      </w:r>
      <w:r w:rsidR="00426E0C">
        <w:t xml:space="preserve"> in our society</w:t>
      </w:r>
      <w:r w:rsidR="00E85678">
        <w:t xml:space="preserve"> and the tragic results when appropriate intervention is lacking</w:t>
      </w:r>
      <w:r>
        <w:t xml:space="preserve">.  </w:t>
      </w:r>
      <w:r w:rsidR="00426E0C">
        <w:t>Social workers in child protection agencies are often involved in making discretionary decisions about removing children from their famil</w:t>
      </w:r>
      <w:r w:rsidR="00D31273">
        <w:t xml:space="preserve">ies to protect them from harm.  In some instances parents challenge the agencies’ child removal decisions in court, usually by filing a claim in federal court for a violation of civil rights under </w:t>
      </w:r>
      <w:r w:rsidR="004A2595">
        <w:t xml:space="preserve">42 U.S.C. </w:t>
      </w:r>
      <w:r w:rsidR="00D31273" w:rsidRPr="00D31273">
        <w:t>§ 1983.</w:t>
      </w:r>
      <w:r w:rsidR="00D31273">
        <w:t xml:space="preserve">  In a recently decided case from the Ninth Circuit Court of Appeals, </w:t>
      </w:r>
      <w:proofErr w:type="spellStart"/>
      <w:r w:rsidR="004A2595" w:rsidRPr="004A2595">
        <w:rPr>
          <w:i/>
        </w:rPr>
        <w:t>Franet</w:t>
      </w:r>
      <w:proofErr w:type="spellEnd"/>
      <w:r w:rsidR="004A2595" w:rsidRPr="004A2595">
        <w:rPr>
          <w:i/>
        </w:rPr>
        <w:t xml:space="preserve"> v. Alameda</w:t>
      </w:r>
      <w:r w:rsidR="009B7292">
        <w:t xml:space="preserve"> (2008)</w:t>
      </w:r>
      <w:r w:rsidR="004A2595" w:rsidRPr="004A2595">
        <w:rPr>
          <w:i/>
        </w:rPr>
        <w:t>,</w:t>
      </w:r>
      <w:r w:rsidR="004A2595">
        <w:t xml:space="preserve"> </w:t>
      </w:r>
      <w:r>
        <w:t xml:space="preserve">NASW and the </w:t>
      </w:r>
      <w:r w:rsidR="00D31273">
        <w:t xml:space="preserve">NASW, </w:t>
      </w:r>
      <w:r>
        <w:t>California Chapter filed an amicus brief in support of social workers’ ability to make discre</w:t>
      </w:r>
      <w:r w:rsidR="00D31273">
        <w:t>tionary child removal decisions in child abuse investigations.  This Legal issue of the Month article reviews the legal standard</w:t>
      </w:r>
      <w:r w:rsidR="00830C18">
        <w:t>s</w:t>
      </w:r>
      <w:r w:rsidR="00D31273">
        <w:t xml:space="preserve"> applicable to child removal</w:t>
      </w:r>
      <w:r w:rsidR="00830C18">
        <w:t xml:space="preserve"> </w:t>
      </w:r>
      <w:r w:rsidR="004A2595">
        <w:t>decisions</w:t>
      </w:r>
      <w:r w:rsidR="00830C18">
        <w:t xml:space="preserve"> and government actors</w:t>
      </w:r>
      <w:r w:rsidR="004A2595">
        <w:t>’</w:t>
      </w:r>
      <w:r w:rsidR="00830C18">
        <w:t xml:space="preserve"> protection from liability for discretionary decisions through the lens of recent case law.</w:t>
      </w:r>
    </w:p>
    <w:p w:rsidR="00D31273" w:rsidRPr="00E85678" w:rsidRDefault="00211B0A">
      <w:pPr>
        <w:rPr>
          <w:sz w:val="28"/>
          <w:szCs w:val="28"/>
        </w:rPr>
      </w:pPr>
      <w:r w:rsidRPr="00E85678">
        <w:rPr>
          <w:sz w:val="28"/>
          <w:szCs w:val="28"/>
        </w:rPr>
        <w:t>Review of Legal Standards</w:t>
      </w:r>
    </w:p>
    <w:p w:rsidR="00211B0A" w:rsidRDefault="00211B0A">
      <w:r>
        <w:t xml:space="preserve">As noted in an earlier Legal Issue of the Month article, </w:t>
      </w:r>
      <w:proofErr w:type="gramStart"/>
      <w:r w:rsidRPr="00211B0A">
        <w:rPr>
          <w:i/>
        </w:rPr>
        <w:t>Is</w:t>
      </w:r>
      <w:proofErr w:type="gramEnd"/>
      <w:r w:rsidRPr="00211B0A">
        <w:rPr>
          <w:i/>
        </w:rPr>
        <w:t xml:space="preserve"> it Necessary for Protective Services Social Workers to Obtain a Warrant to Investigate a Child Abuse or Neglect Complaint?</w:t>
      </w:r>
      <w:r>
        <w:t xml:space="preserve"> (Morgan and Polowy, 2003), the Fourth Amendment’s prohibition on searches and seizures by government actors is applicable to child removal decisions and actions undertaken to accomplish the removal of a child from the home.  The presumption is that “absent probable cause and a warrant” a search of a private home is unreasonable.  “The presumption of unreasonableness can be overcome by a showing of consent or the existence of exigent circumstances requiring entry.”</w:t>
      </w:r>
    </w:p>
    <w:p w:rsidR="00E85678" w:rsidRDefault="00E85678" w:rsidP="00E85678">
      <w:pPr>
        <w:spacing w:after="0"/>
        <w:ind w:left="576" w:right="576"/>
        <w:jc w:val="both"/>
      </w:pPr>
      <w:r>
        <w:t>An alternate Fourth Amendment standard that has been applied is the “special needs” test.  This standard carves out certain types of situations as being unique and requiring a balancing of the government’s interests with the privacy rights of the individual.  In these circumstances, the lack of a warrant may be a factor to consider, but the presumption of unreasonableness is not created.  Thus, the special needs test would be easier for an investigating social worker to meet (Morgan and Polowy, 2003).</w:t>
      </w:r>
    </w:p>
    <w:p w:rsidR="00E85678" w:rsidRDefault="00E85678" w:rsidP="009B7292">
      <w:pPr>
        <w:spacing w:after="0"/>
        <w:jc w:val="both"/>
      </w:pPr>
    </w:p>
    <w:p w:rsidR="00E85678" w:rsidRDefault="00E85678" w:rsidP="00E85678">
      <w:pPr>
        <w:jc w:val="both"/>
      </w:pPr>
      <w:r>
        <w:t xml:space="preserve">Although the legal standard </w:t>
      </w:r>
      <w:r w:rsidR="00302D86">
        <w:t>may be</w:t>
      </w:r>
      <w:r>
        <w:t xml:space="preserve"> stated clearly, the application of the law in child removal cases depends on a detailed review of the facts of each specific case.  Thus, it may be difficult to discern a bright-line rule to use in other cases.  This creates some risk for child welfare workers who are presumed to be knowledgeable about the </w:t>
      </w:r>
      <w:r w:rsidR="00FA09A9">
        <w:t>requirements</w:t>
      </w:r>
      <w:r>
        <w:t xml:space="preserve"> of the law</w:t>
      </w:r>
      <w:r w:rsidR="00FA09A9">
        <w:t xml:space="preserve"> in the state in which they practice</w:t>
      </w:r>
      <w:r>
        <w:t>.</w:t>
      </w:r>
    </w:p>
    <w:p w:rsidR="00302D86" w:rsidRDefault="00E85678" w:rsidP="00302D86">
      <w:pPr>
        <w:jc w:val="both"/>
      </w:pPr>
      <w:r>
        <w:t xml:space="preserve">Even in circumstances where the government actors (including agency child protection social workers) have made an incorrect decision, they may be entitled to immunity for their actions.  Immunity may be absolute or qualified.  Absolute immunity would </w:t>
      </w:r>
      <w:r w:rsidR="00302D86">
        <w:t>completely shield</w:t>
      </w:r>
      <w:r>
        <w:t xml:space="preserve"> child welfare workers from </w:t>
      </w:r>
      <w:r w:rsidR="00302D86">
        <w:t xml:space="preserve">lawsuits </w:t>
      </w:r>
      <w:r w:rsidR="00302D86">
        <w:lastRenderedPageBreak/>
        <w:t>while “qualified immunity shields government officials from liability when they are acting within their discretionary authority and their conduct does not violate clearly established statutory or constitutional law of which a reasonable person would have known” (</w:t>
      </w:r>
      <w:r w:rsidR="00D31273" w:rsidRPr="00302D86">
        <w:rPr>
          <w:i/>
        </w:rPr>
        <w:t>Gates v. Texas Dept. of Protective and Regulatory Services</w:t>
      </w:r>
      <w:r w:rsidR="00D31273">
        <w:t xml:space="preserve">, 2008).  </w:t>
      </w:r>
      <w:r w:rsidR="00302D86">
        <w:t>Thus, qualified immunity is a legal defense to a Fourth Amendment complaint for illegal search and seizure.</w:t>
      </w:r>
    </w:p>
    <w:p w:rsidR="008016E5" w:rsidRPr="008016E5" w:rsidRDefault="008016E5" w:rsidP="006B7C5C">
      <w:pPr>
        <w:jc w:val="both"/>
        <w:rPr>
          <w:sz w:val="28"/>
          <w:szCs w:val="28"/>
        </w:rPr>
      </w:pPr>
      <w:r w:rsidRPr="008016E5">
        <w:rPr>
          <w:sz w:val="28"/>
          <w:szCs w:val="28"/>
        </w:rPr>
        <w:t>Recent Cases</w:t>
      </w:r>
    </w:p>
    <w:p w:rsidR="007A588A" w:rsidRDefault="00302D86" w:rsidP="006B7C5C">
      <w:pPr>
        <w:jc w:val="both"/>
      </w:pPr>
      <w:r>
        <w:t xml:space="preserve">In </w:t>
      </w:r>
      <w:r w:rsidRPr="00CD4E8C">
        <w:rPr>
          <w:i/>
        </w:rPr>
        <w:t>Gates</w:t>
      </w:r>
      <w:r>
        <w:t xml:space="preserve"> (2008), t</w:t>
      </w:r>
      <w:r w:rsidR="00D31273">
        <w:t>he Fifth Circuit</w:t>
      </w:r>
      <w:r w:rsidR="00F5550D">
        <w:t xml:space="preserve"> </w:t>
      </w:r>
      <w:r>
        <w:t xml:space="preserve">analyzed the actions of </w:t>
      </w:r>
      <w:r w:rsidR="00FA09A9">
        <w:t xml:space="preserve">Texas </w:t>
      </w:r>
      <w:r>
        <w:t>child welfare workers and other personnel, including the police, in a complex case involving a family with 13 children, 11 of whom were adoptees.</w:t>
      </w:r>
      <w:r w:rsidR="00E4550B">
        <w:t xml:space="preserve">  The court </w:t>
      </w:r>
      <w:r w:rsidR="007A588A">
        <w:t xml:space="preserve">utilized a multi-step analysis </w:t>
      </w:r>
      <w:r w:rsidR="00AD3FA1">
        <w:t>applying three questions to several factual issues</w:t>
      </w:r>
      <w:r w:rsidR="007A588A">
        <w:t>:</w:t>
      </w:r>
      <w:r w:rsidR="006B7C5C">
        <w:t xml:space="preserve">  1) </w:t>
      </w:r>
      <w:r w:rsidR="007A588A">
        <w:t xml:space="preserve">Examining the case “in the light most favorable to the </w:t>
      </w:r>
      <w:r w:rsidR="008016E5">
        <w:t>plaintiffs</w:t>
      </w:r>
      <w:r w:rsidR="007A588A">
        <w:t xml:space="preserve">, do the facts alleged show that the </w:t>
      </w:r>
      <w:r w:rsidR="008016E5">
        <w:t>worker</w:t>
      </w:r>
      <w:r w:rsidR="007A588A">
        <w:t xml:space="preserve">’s conduct violated a constitutional right? </w:t>
      </w:r>
      <w:r w:rsidR="006B7C5C">
        <w:t xml:space="preserve">2) </w:t>
      </w:r>
      <w:r w:rsidR="007A588A">
        <w:t>If a right was violated, was it clearly established at the time of the incident?</w:t>
      </w:r>
      <w:r w:rsidR="006B7C5C">
        <w:t xml:space="preserve"> 3) </w:t>
      </w:r>
      <w:r w:rsidR="007A588A">
        <w:t>If the right was clearly established at the time, was the defendant’s conduct “objectively reasonable?”</w:t>
      </w:r>
    </w:p>
    <w:p w:rsidR="00ED3890" w:rsidRDefault="006B7C5C" w:rsidP="00150BC3">
      <w:pPr>
        <w:spacing w:after="0"/>
      </w:pPr>
      <w:r>
        <w:t xml:space="preserve"> </w:t>
      </w:r>
      <w:r w:rsidR="00ED3890">
        <w:t xml:space="preserve">The standard enunciated by the Fifth Circuit is that </w:t>
      </w:r>
      <w:r w:rsidR="00FA09A9">
        <w:t>“</w:t>
      </w:r>
      <w:r w:rsidR="00ED3890">
        <w:t>exigent circumstances</w:t>
      </w:r>
      <w:r w:rsidR="00FA09A9">
        <w:t>”</w:t>
      </w:r>
      <w:r w:rsidR="00ED3890">
        <w:t xml:space="preserve"> </w:t>
      </w:r>
      <w:r w:rsidR="00150BC3">
        <w:t xml:space="preserve">is defined to </w:t>
      </w:r>
      <w:r w:rsidR="00ED3890">
        <w:t>mean that there is “reasonable cause to believe that the child is in imminent danger of physical or sexual abuse if he remains in his home” and that this is applied flexibly</w:t>
      </w:r>
      <w:r w:rsidR="008016E5">
        <w:t>,</w:t>
      </w:r>
      <w:r w:rsidR="00ED3890">
        <w:t xml:space="preserve"> reviewing various factors such as:</w:t>
      </w:r>
    </w:p>
    <w:p w:rsidR="009F215D" w:rsidRDefault="009F215D" w:rsidP="00150BC3">
      <w:pPr>
        <w:spacing w:after="0"/>
      </w:pPr>
    </w:p>
    <w:p w:rsidR="00ED3890" w:rsidRDefault="00ED3890" w:rsidP="008016E5">
      <w:pPr>
        <w:pStyle w:val="ListParagraph"/>
        <w:numPr>
          <w:ilvl w:val="0"/>
          <w:numId w:val="2"/>
        </w:numPr>
        <w:spacing w:after="0" w:line="240" w:lineRule="auto"/>
      </w:pPr>
      <w:r>
        <w:t>The nature of the abuse</w:t>
      </w:r>
    </w:p>
    <w:p w:rsidR="00ED3890" w:rsidRDefault="00ED3890" w:rsidP="008016E5">
      <w:pPr>
        <w:pStyle w:val="ListParagraph"/>
        <w:numPr>
          <w:ilvl w:val="0"/>
          <w:numId w:val="2"/>
        </w:numPr>
        <w:spacing w:after="0" w:line="240" w:lineRule="auto"/>
      </w:pPr>
      <w:r>
        <w:t>Whether there was time to obtain a court order</w:t>
      </w:r>
    </w:p>
    <w:p w:rsidR="00ED3890" w:rsidRDefault="00ED3890" w:rsidP="008016E5">
      <w:pPr>
        <w:pStyle w:val="ListParagraph"/>
        <w:numPr>
          <w:ilvl w:val="0"/>
          <w:numId w:val="2"/>
        </w:numPr>
        <w:spacing w:after="0" w:line="240" w:lineRule="auto"/>
      </w:pPr>
      <w:r>
        <w:t>The strength of the evidence suppor</w:t>
      </w:r>
      <w:r w:rsidR="006B7C5C">
        <w:t>t</w:t>
      </w:r>
      <w:r>
        <w:t>ing the allegations</w:t>
      </w:r>
    </w:p>
    <w:p w:rsidR="00ED3890" w:rsidRDefault="00ED3890" w:rsidP="008016E5">
      <w:pPr>
        <w:pStyle w:val="ListParagraph"/>
        <w:numPr>
          <w:ilvl w:val="0"/>
          <w:numId w:val="2"/>
        </w:numPr>
        <w:spacing w:after="0" w:line="240" w:lineRule="auto"/>
      </w:pPr>
      <w:r>
        <w:t>The risk that the parent will flee with the child</w:t>
      </w:r>
    </w:p>
    <w:p w:rsidR="00ED3890" w:rsidRDefault="00ED3890" w:rsidP="008016E5">
      <w:pPr>
        <w:pStyle w:val="ListParagraph"/>
        <w:numPr>
          <w:ilvl w:val="0"/>
          <w:numId w:val="2"/>
        </w:numPr>
        <w:spacing w:after="0" w:line="240" w:lineRule="auto"/>
      </w:pPr>
      <w:r>
        <w:t>The possibility of less extreme solutions</w:t>
      </w:r>
    </w:p>
    <w:p w:rsidR="00ED3890" w:rsidRDefault="00ED3890" w:rsidP="008016E5">
      <w:pPr>
        <w:pStyle w:val="ListParagraph"/>
        <w:numPr>
          <w:ilvl w:val="0"/>
          <w:numId w:val="2"/>
        </w:numPr>
        <w:spacing w:after="0" w:line="240" w:lineRule="auto"/>
      </w:pPr>
      <w:r>
        <w:t>Any harm to the child that might result from removal. (Id. *429)</w:t>
      </w:r>
    </w:p>
    <w:p w:rsidR="00150BC3" w:rsidRDefault="00150BC3" w:rsidP="00150BC3">
      <w:pPr>
        <w:spacing w:after="0" w:line="240" w:lineRule="auto"/>
        <w:ind w:left="360"/>
      </w:pPr>
    </w:p>
    <w:p w:rsidR="008E1CC9" w:rsidRPr="008E1CC9" w:rsidRDefault="008E1CC9" w:rsidP="00ED3890">
      <w:r w:rsidRPr="008E1CC9">
        <w:t xml:space="preserve">In </w:t>
      </w:r>
      <w:r w:rsidRPr="008E1CC9">
        <w:rPr>
          <w:i/>
        </w:rPr>
        <w:t>Gates,</w:t>
      </w:r>
      <w:r w:rsidRPr="008E1CC9">
        <w:t xml:space="preserve"> the court eventually found that the </w:t>
      </w:r>
      <w:r w:rsidR="00156365">
        <w:t xml:space="preserve">county employees </w:t>
      </w:r>
      <w:r w:rsidRPr="008E1CC9">
        <w:t>were entitled to qualified immunity, as i</w:t>
      </w:r>
      <w:r w:rsidR="00785F01">
        <w:t>t</w:t>
      </w:r>
      <w:r w:rsidRPr="008E1CC9">
        <w:t xml:space="preserve"> was reasonable that they may have </w:t>
      </w:r>
      <w:r w:rsidR="00156365">
        <w:t>concluded that the children needed to be removed immediately</w:t>
      </w:r>
      <w:r w:rsidRPr="008E1CC9">
        <w:t>, given the totality of the circumstances.</w:t>
      </w:r>
    </w:p>
    <w:p w:rsidR="00DC0528" w:rsidRDefault="00DC0528" w:rsidP="00ED3890">
      <w:proofErr w:type="spellStart"/>
      <w:r w:rsidRPr="00150BC3">
        <w:rPr>
          <w:i/>
        </w:rPr>
        <w:t>Franet</w:t>
      </w:r>
      <w:proofErr w:type="spellEnd"/>
      <w:r w:rsidRPr="00150BC3">
        <w:rPr>
          <w:i/>
        </w:rPr>
        <w:t xml:space="preserve"> v. Alameda</w:t>
      </w:r>
      <w:r>
        <w:t xml:space="preserve"> </w:t>
      </w:r>
      <w:r w:rsidR="00640D46">
        <w:t xml:space="preserve">(2008) </w:t>
      </w:r>
      <w:r>
        <w:t>is an unpublished decision of the Ninth Circuit Court of Appeals</w:t>
      </w:r>
      <w:r w:rsidR="00FA09A9">
        <w:t xml:space="preserve"> reviewing the actions of county social workers in California</w:t>
      </w:r>
      <w:r>
        <w:t>.  Although the case does not have precedential value</w:t>
      </w:r>
      <w:r w:rsidR="00150BC3">
        <w:t xml:space="preserve"> (unpublished opinions cannot be cited in subsequent legal cases)</w:t>
      </w:r>
      <w:r>
        <w:t xml:space="preserve">, it is reviewed here for purposes of discussion and due to the NASW involvement.  This case involved a social worker’s decision to remove a child and her brother from their mother’s custody due to allegations </w:t>
      </w:r>
      <w:r w:rsidR="00740AA4">
        <w:t xml:space="preserve">that the non-custodial father may have </w:t>
      </w:r>
      <w:r w:rsidR="00150BC3">
        <w:t>sexual</w:t>
      </w:r>
      <w:r w:rsidR="00740AA4">
        <w:t>ly</w:t>
      </w:r>
      <w:r w:rsidR="00150BC3">
        <w:t xml:space="preserve"> abuse</w:t>
      </w:r>
      <w:r w:rsidR="00740AA4">
        <w:t>d</w:t>
      </w:r>
      <w:r w:rsidR="00150BC3">
        <w:t xml:space="preserve"> the daughter and evidence of the mother’s inability to protect the children.  The children were removed from the mother’s custody and placed in foster care and were eventually returned to their mother after two months</w:t>
      </w:r>
      <w:r w:rsidR="00137715">
        <w:t>.  The mother</w:t>
      </w:r>
      <w:r w:rsidR="00640D46">
        <w:t xml:space="preserve"> filed suit against the social worker who removed the children (Castro) as well as the social worker who oversaw the children’s stay in foster care (</w:t>
      </w:r>
      <w:proofErr w:type="spellStart"/>
      <w:r w:rsidR="00640D46">
        <w:t>Hintzen</w:t>
      </w:r>
      <w:proofErr w:type="spellEnd"/>
      <w:r w:rsidR="00640D46">
        <w:t>).</w:t>
      </w:r>
    </w:p>
    <w:p w:rsidR="00D06EB3" w:rsidRDefault="00137715" w:rsidP="00ED3890">
      <w:r>
        <w:t xml:space="preserve">The trial court ruled against Castro, based on a jury verdict, </w:t>
      </w:r>
      <w:r w:rsidR="00D23DF8">
        <w:t>but</w:t>
      </w:r>
      <w:r>
        <w:t xml:space="preserve"> ruled that </w:t>
      </w:r>
      <w:proofErr w:type="spellStart"/>
      <w:r>
        <w:t>Hintzen</w:t>
      </w:r>
      <w:proofErr w:type="spellEnd"/>
      <w:r>
        <w:t xml:space="preserve"> was entitled to qualified immunity for her actions and that the County was not liable. Upon request from the NASW, </w:t>
      </w:r>
      <w:r>
        <w:lastRenderedPageBreak/>
        <w:t xml:space="preserve">California Chapter on behalf of social worker Castro, NASW filed a friend of the court brief in the appeal.  </w:t>
      </w:r>
      <w:r w:rsidR="00D06EB3">
        <w:t xml:space="preserve">NASW’s brief argued that the jury should not have decided the question of whether Castro was entitled to qualified immunity—that was a legal issue for the judge to decide—and that </w:t>
      </w:r>
      <w:r w:rsidR="003D3243">
        <w:t xml:space="preserve">the court should have based its ruling on additional </w:t>
      </w:r>
      <w:r w:rsidR="00D06EB3">
        <w:t xml:space="preserve">facts </w:t>
      </w:r>
      <w:r w:rsidR="003D3243">
        <w:t xml:space="preserve">surrounding the removal decision, not solely on whether there was time to obtain a warrant.  </w:t>
      </w:r>
    </w:p>
    <w:p w:rsidR="00137715" w:rsidRDefault="00137715" w:rsidP="002F40C1">
      <w:r>
        <w:t xml:space="preserve">In a short opinion, the Ninth Circuit </w:t>
      </w:r>
      <w:r w:rsidR="00D06EB3">
        <w:t>affirmed an award of $170,000 in compensatory damages against Castro, but st</w:t>
      </w:r>
      <w:r w:rsidR="009F215D">
        <w:t>ruck the punitive damages award</w:t>
      </w:r>
      <w:r w:rsidR="00D06EB3">
        <w:t xml:space="preserve"> due to the lack of evidence that Castro acted in bad faith.  The court affirmed the finding of qualified immunity for </w:t>
      </w:r>
      <w:proofErr w:type="spellStart"/>
      <w:r w:rsidR="00D06EB3">
        <w:t>Hintzen</w:t>
      </w:r>
      <w:proofErr w:type="spellEnd"/>
      <w:r w:rsidR="00D06EB3">
        <w:t xml:space="preserve"> but re-opened the possibility of legal action against the county for a determination as to whether it had an unconstitutional policy of “seizing children without warrants in the absence of emergency circumstances or that the County had failed to train social workers on what constituted an emergency.” </w:t>
      </w:r>
      <w:proofErr w:type="gramStart"/>
      <w:r w:rsidR="00D06EB3">
        <w:t>(Id. @ *2).</w:t>
      </w:r>
      <w:proofErr w:type="gramEnd"/>
    </w:p>
    <w:p w:rsidR="002F40C1" w:rsidRDefault="002F40C1" w:rsidP="00ED3890">
      <w:pPr>
        <w:rPr>
          <w:sz w:val="28"/>
          <w:szCs w:val="28"/>
        </w:rPr>
      </w:pPr>
      <w:r>
        <w:rPr>
          <w:sz w:val="28"/>
          <w:szCs w:val="28"/>
        </w:rPr>
        <w:t>NASW Standards</w:t>
      </w:r>
    </w:p>
    <w:p w:rsidR="002F40C1" w:rsidRPr="002F40C1" w:rsidRDefault="000D3CDE" w:rsidP="002F40C1">
      <w:pPr>
        <w:autoSpaceDE w:val="0"/>
        <w:autoSpaceDN w:val="0"/>
        <w:adjustRightInd w:val="0"/>
        <w:rPr>
          <w:rFonts w:cs="JansonText-Roman"/>
        </w:rPr>
      </w:pPr>
      <w:r>
        <w:rPr>
          <w:rFonts w:cs="Frutiger-BoldCn"/>
          <w:bCs/>
        </w:rPr>
        <w:t xml:space="preserve">NASW promulgates national practice standards for social work practice in various settings.  </w:t>
      </w:r>
      <w:r w:rsidR="002F40C1" w:rsidRPr="002F40C1">
        <w:rPr>
          <w:rFonts w:cs="Frutiger-BoldCn"/>
          <w:bCs/>
        </w:rPr>
        <w:t xml:space="preserve">The </w:t>
      </w:r>
      <w:r w:rsidR="002F40C1" w:rsidRPr="002F40C1">
        <w:rPr>
          <w:rFonts w:cs="Frutiger-BoldCn"/>
          <w:bCs/>
          <w:i/>
        </w:rPr>
        <w:t>NASW Standards for Social Work Practice in Child Welfare</w:t>
      </w:r>
      <w:r w:rsidR="002F40C1">
        <w:rPr>
          <w:rFonts w:cs="Frutiger-BoldCn"/>
          <w:bCs/>
        </w:rPr>
        <w:t xml:space="preserve"> (2005)</w:t>
      </w:r>
      <w:r w:rsidR="002F40C1" w:rsidRPr="002F40C1">
        <w:rPr>
          <w:rFonts w:cs="Frutiger-BoldCn"/>
          <w:bCs/>
        </w:rPr>
        <w:t xml:space="preserve">, require that social workers working in child welfare settings </w:t>
      </w:r>
      <w:r w:rsidR="002F40C1">
        <w:rPr>
          <w:rFonts w:cs="Frutiger-BoldCn"/>
          <w:bCs/>
        </w:rPr>
        <w:t>“</w:t>
      </w:r>
      <w:r w:rsidR="002F40C1" w:rsidRPr="002F40C1">
        <w:rPr>
          <w:rFonts w:cs="JansonText-Roman"/>
        </w:rPr>
        <w:t>stay abreast of new laws and regulations that have an impact on child welfare practice.</w:t>
      </w:r>
      <w:r w:rsidR="002F40C1">
        <w:rPr>
          <w:rFonts w:cs="JansonText-Roman"/>
        </w:rPr>
        <w:t xml:space="preserve">  </w:t>
      </w:r>
      <w:r w:rsidR="002F40C1" w:rsidRPr="002F40C1">
        <w:rPr>
          <w:rFonts w:cs="JansonText-Roman"/>
        </w:rPr>
        <w:t>Child welfare organizations</w:t>
      </w:r>
      <w:r w:rsidR="002F40C1">
        <w:rPr>
          <w:rFonts w:cs="JansonText-Roman"/>
        </w:rPr>
        <w:t xml:space="preserve"> </w:t>
      </w:r>
      <w:r w:rsidR="002F40C1" w:rsidRPr="002F40C1">
        <w:rPr>
          <w:rFonts w:cs="JansonText-Roman"/>
        </w:rPr>
        <w:t>must ensure information on new laws and</w:t>
      </w:r>
      <w:r w:rsidR="002F40C1">
        <w:rPr>
          <w:rFonts w:cs="JansonText-Roman"/>
        </w:rPr>
        <w:t xml:space="preserve"> </w:t>
      </w:r>
      <w:r w:rsidR="002F40C1" w:rsidRPr="002F40C1">
        <w:rPr>
          <w:rFonts w:cs="JansonText-Roman"/>
        </w:rPr>
        <w:t>their requirements are shared with staff in a</w:t>
      </w:r>
      <w:r w:rsidR="002F40C1">
        <w:rPr>
          <w:rFonts w:cs="JansonText-Roman"/>
        </w:rPr>
        <w:t xml:space="preserve"> </w:t>
      </w:r>
      <w:r w:rsidR="002F40C1" w:rsidRPr="002F40C1">
        <w:rPr>
          <w:rFonts w:cs="JansonText-Roman"/>
        </w:rPr>
        <w:t>timely manner. Also, social workers in child</w:t>
      </w:r>
      <w:r w:rsidR="002F40C1">
        <w:rPr>
          <w:rFonts w:cs="JansonText-Roman"/>
        </w:rPr>
        <w:t xml:space="preserve"> </w:t>
      </w:r>
      <w:r w:rsidR="002F40C1" w:rsidRPr="002F40C1">
        <w:rPr>
          <w:rFonts w:cs="JansonText-Roman"/>
        </w:rPr>
        <w:t>welfare must be aware of changes to state,</w:t>
      </w:r>
      <w:r w:rsidR="002F40C1">
        <w:rPr>
          <w:rFonts w:cs="JansonText-Roman"/>
        </w:rPr>
        <w:t xml:space="preserve"> </w:t>
      </w:r>
      <w:r w:rsidR="002F40C1" w:rsidRPr="002F40C1">
        <w:rPr>
          <w:rFonts w:cs="JansonText-Roman"/>
        </w:rPr>
        <w:t>federal, and local laws affecting practice with</w:t>
      </w:r>
      <w:r w:rsidR="002F40C1">
        <w:rPr>
          <w:rFonts w:cs="JansonText-Roman"/>
        </w:rPr>
        <w:t xml:space="preserve"> </w:t>
      </w:r>
      <w:r w:rsidR="002F40C1" w:rsidRPr="002F40C1">
        <w:rPr>
          <w:rFonts w:cs="JansonText-Roman"/>
        </w:rPr>
        <w:t>children and families and should be competent</w:t>
      </w:r>
      <w:r w:rsidR="002F40C1">
        <w:rPr>
          <w:rFonts w:cs="JansonText-Roman"/>
        </w:rPr>
        <w:t xml:space="preserve"> </w:t>
      </w:r>
      <w:r w:rsidR="002F40C1" w:rsidRPr="002F40C1">
        <w:rPr>
          <w:rFonts w:cs="JansonText-Roman"/>
        </w:rPr>
        <w:t>to explain legislative and legal changes to the</w:t>
      </w:r>
      <w:r w:rsidR="002F40C1">
        <w:rPr>
          <w:rFonts w:cs="JansonText-Roman"/>
        </w:rPr>
        <w:t xml:space="preserve"> </w:t>
      </w:r>
      <w:r w:rsidR="002F40C1" w:rsidRPr="002F40C1">
        <w:rPr>
          <w:rFonts w:cs="JansonText-Roman"/>
        </w:rPr>
        <w:t>individuals they serve.</w:t>
      </w:r>
      <w:r>
        <w:rPr>
          <w:rFonts w:cs="JansonText-Roman"/>
        </w:rPr>
        <w:t>”</w:t>
      </w:r>
    </w:p>
    <w:p w:rsidR="002F40C1" w:rsidRPr="009825CC" w:rsidRDefault="009825CC" w:rsidP="009825CC">
      <w:r w:rsidRPr="009825CC">
        <w:rPr>
          <w:rFonts w:cs="Frutiger-BoldCn"/>
          <w:bCs/>
        </w:rPr>
        <w:t>Reviewing recent court decisions and analyzing the impact on direct child welfare practice is an important element for professional social workers to maintain high standards of practice to better serve the vulnerable population of families and children in high-risk situations.</w:t>
      </w:r>
    </w:p>
    <w:p w:rsidR="00CD4E8C" w:rsidRPr="009F215D" w:rsidRDefault="00CD4E8C" w:rsidP="00ED3890">
      <w:pPr>
        <w:rPr>
          <w:sz w:val="28"/>
          <w:szCs w:val="28"/>
        </w:rPr>
      </w:pPr>
      <w:r w:rsidRPr="009F215D">
        <w:rPr>
          <w:sz w:val="28"/>
          <w:szCs w:val="28"/>
        </w:rPr>
        <w:t>Analysis and Conclusions</w:t>
      </w:r>
    </w:p>
    <w:p w:rsidR="004B3640" w:rsidRDefault="004B3640" w:rsidP="00ED3890">
      <w:r>
        <w:t xml:space="preserve">The federal courts have evidenced a willingness to review child removal decisions for the existence of “exigent circumstances” and </w:t>
      </w:r>
      <w:r w:rsidR="009B7292">
        <w:t xml:space="preserve">the Fifth Circuit has </w:t>
      </w:r>
      <w:r>
        <w:t xml:space="preserve">refused to create a blanket exception for child protection investigations.  </w:t>
      </w:r>
      <w:r w:rsidR="009B7292">
        <w:t>The courts</w:t>
      </w:r>
      <w:r>
        <w:t xml:space="preserve"> have </w:t>
      </w:r>
      <w:r w:rsidR="00CD4E8C">
        <w:t xml:space="preserve">continued to fill out the contours of the “exigent circumstances” rule as applied to the facts of specific child removal situations, demonstrating that multiple factors must be considered before social workers decide to remove children from their homes without obtaining a warrant.  </w:t>
      </w:r>
      <w:r>
        <w:t>The Gates decision</w:t>
      </w:r>
      <w:r w:rsidR="009B7292">
        <w:t>, applicable in Texas, Louisiana and Mississippi,</w:t>
      </w:r>
      <w:r>
        <w:t xml:space="preserve"> clearly outlines factors for child protection workers to evaluate.  </w:t>
      </w:r>
    </w:p>
    <w:p w:rsidR="00CD4E8C" w:rsidRDefault="00CD4E8C" w:rsidP="00ED3890">
      <w:r>
        <w:t>The ruling against social worker Castro and Alameda County will have an impact on how the county trains and supervises child welfare workers, and is likely to be taken as guidance by other child welfare agencies in updating their child protection procedures.</w:t>
      </w:r>
      <w:r w:rsidR="009F215D">
        <w:t xml:space="preserve">  </w:t>
      </w:r>
      <w:r w:rsidR="004B3640">
        <w:t>Child protection a</w:t>
      </w:r>
      <w:r w:rsidR="009F215D">
        <w:t xml:space="preserve">gencies that do not train workers on how to obtain a warrant </w:t>
      </w:r>
      <w:r w:rsidR="004B3640">
        <w:t xml:space="preserve">and have a history of never seeking warrants for child removal actions </w:t>
      </w:r>
      <w:r w:rsidR="009F215D">
        <w:t>may be vulnerable to legal challenges</w:t>
      </w:r>
      <w:r w:rsidR="009B7292">
        <w:t>, particularly those located in the nine states covered by the Ninth Circuit Court of Appeals</w:t>
      </w:r>
      <w:r w:rsidR="004B3640">
        <w:t xml:space="preserve">.  </w:t>
      </w:r>
    </w:p>
    <w:p w:rsidR="00D31273" w:rsidRDefault="004B3640">
      <w:r>
        <w:lastRenderedPageBreak/>
        <w:t xml:space="preserve">NASW supports child welfare social workers through the filing of legal briefs, </w:t>
      </w:r>
      <w:r w:rsidR="009825CC">
        <w:t>lobbying for systemic changes, developing</w:t>
      </w:r>
      <w:r>
        <w:t xml:space="preserve"> professional standards, </w:t>
      </w:r>
      <w:r w:rsidR="009825CC">
        <w:t>offering</w:t>
      </w:r>
      <w:r>
        <w:t xml:space="preserve"> specialized credentials, and </w:t>
      </w:r>
      <w:r w:rsidR="009825CC">
        <w:t xml:space="preserve">facilitating </w:t>
      </w:r>
      <w:r>
        <w:t xml:space="preserve">peer networking </w:t>
      </w:r>
      <w:r w:rsidR="009825CC">
        <w:t xml:space="preserve">and access to information </w:t>
      </w:r>
      <w:r>
        <w:t xml:space="preserve">through the </w:t>
      </w:r>
      <w:r w:rsidR="002F40C1">
        <w:t>Child Welfare Specialty Practice Section</w:t>
      </w:r>
      <w:r>
        <w:t>.</w:t>
      </w:r>
    </w:p>
    <w:p w:rsidR="00D31273" w:rsidRPr="009F215D" w:rsidRDefault="00E4550B">
      <w:pPr>
        <w:rPr>
          <w:sz w:val="28"/>
          <w:szCs w:val="28"/>
        </w:rPr>
      </w:pPr>
      <w:r w:rsidRPr="009F215D">
        <w:rPr>
          <w:sz w:val="28"/>
          <w:szCs w:val="28"/>
        </w:rPr>
        <w:t>References</w:t>
      </w:r>
    </w:p>
    <w:p w:rsidR="00640D46" w:rsidRPr="00640D46" w:rsidRDefault="00640D46" w:rsidP="00302D86">
      <w:pPr>
        <w:jc w:val="both"/>
      </w:pPr>
      <w:proofErr w:type="spellStart"/>
      <w:proofErr w:type="gramStart"/>
      <w:r>
        <w:rPr>
          <w:i/>
        </w:rPr>
        <w:t>Franet</w:t>
      </w:r>
      <w:proofErr w:type="spellEnd"/>
      <w:r>
        <w:rPr>
          <w:i/>
        </w:rPr>
        <w:t xml:space="preserve"> v. Alameda, </w:t>
      </w:r>
      <w:r w:rsidRPr="00640D46">
        <w:t>2008 WL 3992332 (2008).</w:t>
      </w:r>
      <w:proofErr w:type="gramEnd"/>
    </w:p>
    <w:p w:rsidR="00302D86" w:rsidRDefault="00302D86" w:rsidP="00302D86">
      <w:pPr>
        <w:jc w:val="both"/>
      </w:pPr>
      <w:proofErr w:type="gramStart"/>
      <w:r w:rsidRPr="00302D86">
        <w:rPr>
          <w:i/>
        </w:rPr>
        <w:t>Gates v. Texas Dept. of Protective and Regulatory Services</w:t>
      </w:r>
      <w:r>
        <w:t>, 537 F.3d 404 (2008).</w:t>
      </w:r>
      <w:proofErr w:type="gramEnd"/>
      <w:r>
        <w:t xml:space="preserve">  </w:t>
      </w:r>
    </w:p>
    <w:p w:rsidR="00426E0C" w:rsidRDefault="00302D86" w:rsidP="00302D86">
      <w:pPr>
        <w:spacing w:after="0"/>
        <w:ind w:left="720" w:hanging="720"/>
      </w:pPr>
      <w:proofErr w:type="gramStart"/>
      <w:r>
        <w:t>Morgan, S. and Polowy, C. (2003).</w:t>
      </w:r>
      <w:proofErr w:type="gramEnd"/>
      <w:r>
        <w:t xml:space="preserve">  </w:t>
      </w:r>
      <w:r w:rsidRPr="00211B0A">
        <w:rPr>
          <w:i/>
        </w:rPr>
        <w:t xml:space="preserve">Is it </w:t>
      </w:r>
      <w:r>
        <w:rPr>
          <w:i/>
        </w:rPr>
        <w:t>n</w:t>
      </w:r>
      <w:r w:rsidRPr="00211B0A">
        <w:rPr>
          <w:i/>
        </w:rPr>
        <w:t xml:space="preserve">ecessary for </w:t>
      </w:r>
      <w:r>
        <w:rPr>
          <w:i/>
        </w:rPr>
        <w:t>p</w:t>
      </w:r>
      <w:r w:rsidRPr="00211B0A">
        <w:rPr>
          <w:i/>
        </w:rPr>
        <w:t xml:space="preserve">rotective </w:t>
      </w:r>
      <w:r>
        <w:rPr>
          <w:i/>
        </w:rPr>
        <w:t>s</w:t>
      </w:r>
      <w:r w:rsidRPr="00211B0A">
        <w:rPr>
          <w:i/>
        </w:rPr>
        <w:t xml:space="preserve">ervices </w:t>
      </w:r>
      <w:r>
        <w:rPr>
          <w:i/>
        </w:rPr>
        <w:t>s</w:t>
      </w:r>
      <w:r w:rsidRPr="00211B0A">
        <w:rPr>
          <w:i/>
        </w:rPr>
        <w:t xml:space="preserve">ocial </w:t>
      </w:r>
      <w:r>
        <w:rPr>
          <w:i/>
        </w:rPr>
        <w:t>w</w:t>
      </w:r>
      <w:r w:rsidRPr="00211B0A">
        <w:rPr>
          <w:i/>
        </w:rPr>
        <w:t xml:space="preserve">orkers to </w:t>
      </w:r>
      <w:r>
        <w:rPr>
          <w:i/>
        </w:rPr>
        <w:t>o</w:t>
      </w:r>
      <w:r w:rsidRPr="00211B0A">
        <w:rPr>
          <w:i/>
        </w:rPr>
        <w:t xml:space="preserve">btain a </w:t>
      </w:r>
      <w:r>
        <w:rPr>
          <w:i/>
        </w:rPr>
        <w:t>w</w:t>
      </w:r>
      <w:r w:rsidRPr="00211B0A">
        <w:rPr>
          <w:i/>
        </w:rPr>
        <w:t xml:space="preserve">arrant to </w:t>
      </w:r>
      <w:r>
        <w:rPr>
          <w:i/>
        </w:rPr>
        <w:t>i</w:t>
      </w:r>
      <w:r w:rsidRPr="00211B0A">
        <w:rPr>
          <w:i/>
        </w:rPr>
        <w:t xml:space="preserve">nvestigate a </w:t>
      </w:r>
      <w:r>
        <w:rPr>
          <w:i/>
        </w:rPr>
        <w:t>c</w:t>
      </w:r>
      <w:r w:rsidRPr="00211B0A">
        <w:rPr>
          <w:i/>
        </w:rPr>
        <w:t xml:space="preserve">hild </w:t>
      </w:r>
      <w:r>
        <w:rPr>
          <w:i/>
        </w:rPr>
        <w:t>a</w:t>
      </w:r>
      <w:r w:rsidRPr="00211B0A">
        <w:rPr>
          <w:i/>
        </w:rPr>
        <w:t xml:space="preserve">buse or </w:t>
      </w:r>
      <w:r>
        <w:rPr>
          <w:i/>
        </w:rPr>
        <w:t>n</w:t>
      </w:r>
      <w:r w:rsidRPr="00211B0A">
        <w:rPr>
          <w:i/>
        </w:rPr>
        <w:t xml:space="preserve">eglect </w:t>
      </w:r>
      <w:r>
        <w:rPr>
          <w:i/>
        </w:rPr>
        <w:t>c</w:t>
      </w:r>
      <w:r w:rsidRPr="00211B0A">
        <w:rPr>
          <w:i/>
        </w:rPr>
        <w:t>omplaint?</w:t>
      </w:r>
      <w:r>
        <w:rPr>
          <w:i/>
        </w:rPr>
        <w:t xml:space="preserve">  </w:t>
      </w:r>
      <w:proofErr w:type="gramStart"/>
      <w:r>
        <w:t>National Association of Social Workers, Legal Defense Fund, Legal Issue of the Month.</w:t>
      </w:r>
      <w:proofErr w:type="gramEnd"/>
      <w:r>
        <w:t xml:space="preserve">  Wash. DC: Author.  </w:t>
      </w:r>
      <w:proofErr w:type="gramStart"/>
      <w:r>
        <w:t>[Online].</w:t>
      </w:r>
      <w:proofErr w:type="gramEnd"/>
      <w:r>
        <w:t xml:space="preserve">  </w:t>
      </w:r>
      <w:proofErr w:type="gramStart"/>
      <w:r>
        <w:t xml:space="preserve">Available at </w:t>
      </w:r>
      <w:hyperlink r:id="rId6" w:history="1">
        <w:r w:rsidRPr="00560C3F">
          <w:rPr>
            <w:rStyle w:val="Hyperlink"/>
          </w:rPr>
          <w:t>www.socialworkers.org/ldf/legal_issue/default.asp</w:t>
        </w:r>
      </w:hyperlink>
      <w:r>
        <w:t xml:space="preserve"> (password accessible by NASW members).</w:t>
      </w:r>
      <w:proofErr w:type="gramEnd"/>
    </w:p>
    <w:p w:rsidR="000D3CDE" w:rsidRDefault="000D3CDE" w:rsidP="00302D86">
      <w:pPr>
        <w:spacing w:after="0"/>
        <w:ind w:left="720" w:hanging="720"/>
      </w:pPr>
    </w:p>
    <w:p w:rsidR="000D3CDE" w:rsidRDefault="000D3CDE" w:rsidP="00302D86">
      <w:pPr>
        <w:spacing w:after="0"/>
        <w:ind w:left="720" w:hanging="720"/>
      </w:pPr>
      <w:proofErr w:type="gramStart"/>
      <w:r>
        <w:t>National Association of Social Workers (2005).</w:t>
      </w:r>
      <w:proofErr w:type="gramEnd"/>
      <w:r>
        <w:t xml:space="preserve">  </w:t>
      </w:r>
      <w:r w:rsidRPr="000D3CDE">
        <w:rPr>
          <w:i/>
        </w:rPr>
        <w:t>NASW standards for social work practice in child welfare.</w:t>
      </w:r>
      <w:r>
        <w:t xml:space="preserve"> Wash. DC:  Author.  </w:t>
      </w:r>
      <w:proofErr w:type="gramStart"/>
      <w:r>
        <w:t>[Online].</w:t>
      </w:r>
      <w:proofErr w:type="gramEnd"/>
      <w:r>
        <w:t xml:space="preserve">  Available at </w:t>
      </w:r>
      <w:hyperlink r:id="rId7" w:history="1">
        <w:r w:rsidRPr="00F835CA">
          <w:rPr>
            <w:rStyle w:val="Hyperlink"/>
          </w:rPr>
          <w:t>https://www.socialworkers.org/practice/standards/NASWChildWelfareStandards0905.pdf</w:t>
        </w:r>
      </w:hyperlink>
    </w:p>
    <w:p w:rsidR="000D3CDE" w:rsidRPr="00302D86" w:rsidRDefault="000D3CDE" w:rsidP="00302D86">
      <w:pPr>
        <w:spacing w:after="0"/>
        <w:ind w:left="720" w:hanging="720"/>
      </w:pPr>
    </w:p>
    <w:sectPr w:rsidR="000D3CDE" w:rsidRPr="00302D86" w:rsidSect="007C6C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utiger-BoldCn">
    <w:panose1 w:val="00000000000000000000"/>
    <w:charset w:val="00"/>
    <w:family w:val="swiss"/>
    <w:notTrueType/>
    <w:pitch w:val="default"/>
    <w:sig w:usb0="00000003" w:usb1="00000000" w:usb2="00000000" w:usb3="00000000" w:csb0="00000001" w:csb1="00000000"/>
  </w:font>
  <w:font w:name="JansonText-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4D1B"/>
    <w:multiLevelType w:val="hybridMultilevel"/>
    <w:tmpl w:val="AB8E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E11C85"/>
    <w:multiLevelType w:val="hybridMultilevel"/>
    <w:tmpl w:val="B7B67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0575"/>
    <w:rsid w:val="00061830"/>
    <w:rsid w:val="000D3CDE"/>
    <w:rsid w:val="00137715"/>
    <w:rsid w:val="00150BC3"/>
    <w:rsid w:val="00156365"/>
    <w:rsid w:val="001F7010"/>
    <w:rsid w:val="00211B0A"/>
    <w:rsid w:val="002F40C1"/>
    <w:rsid w:val="00302D86"/>
    <w:rsid w:val="003D3243"/>
    <w:rsid w:val="00426E0C"/>
    <w:rsid w:val="004A2595"/>
    <w:rsid w:val="004B3640"/>
    <w:rsid w:val="005E0CFF"/>
    <w:rsid w:val="00640D46"/>
    <w:rsid w:val="006B7C5C"/>
    <w:rsid w:val="00701C65"/>
    <w:rsid w:val="00740AA4"/>
    <w:rsid w:val="00785F01"/>
    <w:rsid w:val="007A588A"/>
    <w:rsid w:val="007C6C7C"/>
    <w:rsid w:val="008016E5"/>
    <w:rsid w:val="00830C18"/>
    <w:rsid w:val="008E1CC9"/>
    <w:rsid w:val="009825CC"/>
    <w:rsid w:val="009B7292"/>
    <w:rsid w:val="009F215D"/>
    <w:rsid w:val="00AD3FA1"/>
    <w:rsid w:val="00CB0575"/>
    <w:rsid w:val="00CD4E8C"/>
    <w:rsid w:val="00D06EB3"/>
    <w:rsid w:val="00D23DF8"/>
    <w:rsid w:val="00D251D1"/>
    <w:rsid w:val="00D31273"/>
    <w:rsid w:val="00D606A1"/>
    <w:rsid w:val="00DA1021"/>
    <w:rsid w:val="00DC0528"/>
    <w:rsid w:val="00E4550B"/>
    <w:rsid w:val="00E85678"/>
    <w:rsid w:val="00ED3890"/>
    <w:rsid w:val="00F5550D"/>
    <w:rsid w:val="00F72BAC"/>
    <w:rsid w:val="00FA09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D86"/>
    <w:rPr>
      <w:color w:val="0000FF" w:themeColor="hyperlink"/>
      <w:u w:val="single"/>
    </w:rPr>
  </w:style>
  <w:style w:type="paragraph" w:styleId="ListParagraph">
    <w:name w:val="List Paragraph"/>
    <w:basedOn w:val="Normal"/>
    <w:uiPriority w:val="34"/>
    <w:qFormat/>
    <w:rsid w:val="007A588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cialworkers.org/practice/standards/NASWChildWelfareStandards090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ocialworkers.org/ldf/legal_issue/default.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7570-B51A-4D14-AAE6-3436B31B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National Association of Social Workers</Company>
  <LinksUpToDate>false</LinksUpToDate>
  <CharactersWithSpaces>10552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smorgan</dc:creator>
  <cp:keywords/>
  <dc:description/>
  <cp:lastModifiedBy>smorgan</cp:lastModifiedBy>
  <cp:revision>19</cp:revision>
  <cp:lastPrinted>2008-10-03T13:34:00Z</cp:lastPrinted>
  <dcterms:created xsi:type="dcterms:W3CDTF">2008-10-01T17:59:00Z</dcterms:created>
  <dcterms:modified xsi:type="dcterms:W3CDTF">2008-10-06T14:47:00Z</dcterms:modified>
</cp:coreProperties>
</file>